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CBD" w:rsidR="00903F79" w:rsidP="00903F79" w:rsidRDefault="00903F79">
      <w:pPr>
        <w:pStyle w:val="p1"/>
        <w:bidi w:val="false"/>
        <w:rPr>
          <w:b/>
          <w:color w:val="568278" w:themeColor="accent5" w:themeShade="BF"/>
          <w:sz w:val="36"/>
        </w:rPr>
      </w:pPr>
      <w:bookmarkStart w:name="_GoBack" w:id="0"/>
      <w:r w:rsidRPr="00813CBD">
        <w:rPr>
          <w:b/>
          <w:noProof/>
          <w:color w:val="568278" w:themeColor="accent5" w:themeShade="BF"/>
          <w:sz w:val="52"/>
          <w:szCs w:val="36"/>
          <w:lang w:val="fr"/>
        </w:rPr>
        <w:drawing>
          <wp:anchor distT="0" distB="0" distL="114300" distR="114300" simplePos="0" relativeHeight="251659264" behindDoc="0" locked="0" layoutInCell="1" allowOverlap="1" wp14:editId="7A3DDA56" wp14:anchorId="65D6BDD7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  <w:lang w:val="fr"/>
        </w:rPr>
        <w:t>Modèle de graphique d'analyse coûts-avantages de base</w:t>
      </w:r>
    </w:p>
    <w:p w:rsidR="00FD0B34" w:rsidRDefault="00FD0B34"/>
    <w:tbl>
      <w:tblPr>
        <w:tblW w:w="143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fr"/>
              </w:rPr>
              <w:t>TITRE DU PROJET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fr"/>
              </w:rPr>
              <w:t>AUTEUR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CC55D7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fr"/>
              </w:rPr>
              <w:t>DATE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fr"/>
              </w:rPr>
              <w:t>VERSION</w:t>
            </w:r>
          </w:p>
        </w:tc>
        <w:tc>
          <w:tcPr>
            <w:tcW w:w="1980" w:type="dxa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fr"/>
              </w:rPr>
              <w:t>0.0.0</w:t>
            </w:r>
          </w:p>
        </w:tc>
      </w:tr>
    </w:tbl>
    <w:p w:rsidRPr="006C6357" w:rsidR="00761512" w:rsidP="00761512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Pr="006C6357" w:rsidR="00FD0B34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Pr="006C6357" w:rsidR="00FD0B34" w:rsidP="00761512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fr"/>
              </w:rPr>
              <w:t>TABLEAU D'ANALYSE COÛTS-AVANTAGES DE BASE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>ACTION PROPOSÉE / ALTERNATIVE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>AVANTAGES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 xml:space="preserve">IMPACT SUR LES AVANTAGES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fr"/>
              </w:rPr>
              <w:t>ÉLEVÉ =3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fr"/>
              </w:rPr>
              <w:t>MOYEN=2 FAIBLE=1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>DÉPENS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 xml:space="preserve">IMPACT SUR LES COÛTS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fr"/>
              </w:rPr>
              <w:t>ÉLEVÉ =3 MOYEN=2 FAIBLE=1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CC55D7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>RATIO</w:t>
            </w:r>
          </w:p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fr"/>
              </w:rPr>
              <w:t>AVANTAGES / COÛTS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fr"/>
              </w:rPr>
              <w:t>CLASSEMENT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Pr="005A06B3" w:rsidR="001405DC" w:rsidP="006C6357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092&amp;utm_language=FR&amp;utm_source=integrated+content&amp;utm_campaign=/free-cost-benefit-analysis-templates&amp;utm_medium=ic+basiccostbenefitanalysischarttemplate+fr&amp;lpa=ic+basiccostbenefitanalysischarttemplate+fr&amp;lx=aYf7K2kMaKALvWovhVtmD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092&amp;utm_language=FR&amp;utm_source=integrated+content&amp;utm_campaign=/free-cost-benefit-analysis-templates&amp;utm_medium=ic+basiccostbenefitanalysischarttemplate+fr&amp;lpa=ic+basiccostbenefitanalysischarttemplate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